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BVGE 2019 I/2 vom 8. Februar 2019</w:t>
      </w:r>
    </w:p>
    <w:p>
      <w:r>
        <w:t>Bundesverwaltungsgericht, 2019-02-08, DE</w:t>
      </w:r>
    </w:p>
    <w:p>
      <w:r>
        <w:rPr>
          <w:b/>
        </w:rPr>
        <w:t xml:space="preserve">Quelle: </w:t>
      </w:r>
      <w:r>
        <w:t>https://mcp.opencaselaw.ch/entscheid/bvger_BVGE 2019 I_2</w:t>
      </w:r>
    </w:p>
    <w:p>
      <w:r>
        <w:t>FR: TAF BVGE 2019 I/2 du 8 février 2019</w:t>
      </w:r>
    </w:p>
    <w:p>
      <w:r>
        <w:t>IT: TAF BVGE 2019 I/2 del 8 febbraio 2019</w:t>
      </w:r>
    </w:p>
    <w:p>
      <w:pPr>
        <w:pStyle w:val="Heading2"/>
      </w:pPr>
      <w:r>
        <w:t>Regeste</w:t>
      </w:r>
    </w:p>
    <w:p>
      <w:r>
        <w:t>Staatshaftung (Bund)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Garantenstellung bei widerrechtlichen Unterlassungen. Garantenpflicht aus Gesetz, aus allgemeinem Rechtsgrundsatz oder aus ungeschriebenen Handlungsprinzipien (E. 5).</w:t>
      </w:r>
    </w:p>
    <w:p>
      <w:r>
        <w:rPr>
          <w:b/>
        </w:rPr>
        <w:t>E. 2</w:t>
      </w:r>
    </w:p>
    <w:p>
      <w:r>
        <w:t>Widerrechtlichkeit. Handlungspflicht aus Gefahrensatz bei Fehlen einer spezifischen Schutznorm (E. 7). Demande récursoire. Responsabilité de l'État. Principe du risque pour fonder l'illicéité d'omissions à défaut d'une norme de protection spécifique. Art. 3 al. 1 LRCF.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